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after="0" w:before="0"/>
      </w:pPr>
      <w:r>
        <w:drawing>
          <wp:inline distT="0" distB="0" distL="0" distR="0">
            <wp:extent cx="2857500" cy="724711"/>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9" cstate="none"/>
                    <a:srcRect/>
                    <a:stretch>
                      <a:fillRect/>
                    </a:stretch>
                  </pic:blipFill>
                  <pic:spPr bwMode="auto">
                    <a:xfrm>
                      <a:ext cx="2857500" cy="724711"/>
                      <a:off x="0" y="0"/>
                    </a:xfrm>
                    <a:prstGeom prst="rect">
                      <a:avLst/>
                    </a:prstGeom>
                  </pic:spPr>
                </pic:pic>
              </a:graphicData>
            </a:graphic>
          </wp:inline>
        </w:drawing>
      </w:r>
    </w:p>
    <w:p>
      <w:pPr>
        <w:spacing/>
        <w:pStyle w:val="Title"/>
      </w:pPr>
      <w:r>
        <w:t xml:space="preserve">Éagothroime Laghdaithe</w:t>
      </w:r>
    </w:p>
    <w:p>
      <w:pPr>
        <w:spacing/>
        <w:pStyle w:val="Heading1"/>
      </w:pPr>
      <w:r>
        <w:rPr>
          <w:b w:val="true"/>
          <w:bCs w:val="true"/>
        </w:rPr>
        <w:t xml:space="preserve">Réamhrá ar Sprioc 10 - Éagothroime Laghdaithe</w:t>
      </w:r>
    </w:p>
    <w:p>
      <w:pPr>
        <w:spacing/>
        <w:pStyle w:val="Heading3"/>
      </w:pPr>
      <w:r>
        <w:t xml:space="preserve">Bain úsáid as an treoir seo chun Sprioc Dhomhanda 10, Éagothroime Laghdaithe a thabhairt isteach do do dhaltaí.</w:t>
      </w:r>
    </w:p>
    <w:p>
      <w:pPr>
        <w:spacing w:before="150" w:after="150"/>
      </w:pPr>
      <w:r>
        <w:drawing>
          <wp:inline distT="0" distB="0" distL="0" distR="0">
            <wp:extent cx="3810000" cy="1800225"/>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0" cstate="none"/>
                    <a:srcRect/>
                    <a:stretch>
                      <a:fillRect/>
                    </a:stretch>
                  </pic:blipFill>
                  <pic:spPr bwMode="auto">
                    <a:xfrm>
                      <a:ext cx="3810000" cy="1800225"/>
                      <a:off x="0" y="0"/>
                    </a:xfrm>
                    <a:prstGeom prst="rect">
                      <a:avLst/>
                    </a:prstGeom>
                  </pic:spPr>
                </pic:pic>
              </a:graphicData>
            </a:graphic>
          </wp:inline>
        </w:drawing>
      </w:r>
    </w:p>
    <w:p>
      <w:pPr>
        <w:spacing/>
        <w:pStyle w:val="Heading3"/>
      </w:pPr>
      <w:r>
        <w:t xml:space="preserve">Cad é Sprioc Dhomhanda 10?</w:t>
      </w:r>
    </w:p>
    <w:p>
      <w:pPr>
        <w:spacing/>
      </w:pPr>
      <w:r>
        <w:t xml:space="preserve">Sprioc Forbartha Inbhuanaithe 10: Tá Éagothroime Laghdaithe ar cheann de na 17 Sprioc Forbartha Inbhuanaithe a bhunaigh na Náisiúin Aontaithe in 2015. </w:t>
      </w:r>
      <w:hyperlink w:history="1" r:id="rIddfhv8x59d">
        <w:r>
          <w:rPr>
            <w:rStyle w:val="Hyperlink"/>
          </w:rPr>
          <w:t xml:space="preserve">Is féidir leat tuilleadh eolais a fháil faoi na Spriocanna inár dtreoir tosaigh</w:t>
        </w:r>
      </w:hyperlink>
      <w:r>
        <w:t xml:space="preserve">.</w:t>
      </w:r>
    </w:p>
    <w:p>
      <w:pPr>
        <w:spacing/>
      </w:pPr>
      <w:r>
        <w:t xml:space="preserve">Is é teideal iomlán Sprioc 10: "Laghdaigh éagothroime laistigh agus i measc tíortha". Tá deich sprioc aige a bhaineann le héagothroime de gach cineál - ó ioncam agus éagothroime eacnamaíoch agus easpa ionadaíochta sa pholaitíocht go leithcheal bunaithe ar inscne, míchumas, cine, agus imirce.</w:t>
      </w:r>
    </w:p>
    <w:p>
      <w:pPr>
        <w:spacing/>
      </w:pPr>
      <w:r>
        <w:t xml:space="preserve">Déanann na NA cur síos ar Sprioc Dhomhanda 10 mar seo a leanas:</w:t>
      </w:r>
    </w:p>
    <w:p>
      <w:pPr>
        <w:spacing/>
      </w:pPr>
      <w:r>
        <w:t xml:space="preserve">Tá an iomarca de shaibhreas agus de chumhacht an domhain i seilbh grúpa an-bheag daoine. Is minic a eascraíonn idirdhealú airgeadais agus sóisialta as seo. Chun go mbeidh rath ar náisiúin, ní mór comhionannas agus rathúnas a bheith ar fáil do chách - beag beann ar inscne, cine, creideamh reiligiúnach nó stádas eacnamaíoch.</w:t>
      </w:r>
    </w:p>
    <w:p>
      <w:pPr>
        <w:spacing/>
        <w:pStyle w:val="Heading3"/>
      </w:pPr>
      <w:r>
        <w:t xml:space="preserve">Gníomhaíochtaí</w:t>
      </w:r>
    </w:p>
    <w:p>
      <w:pPr>
        <w:spacing/>
      </w:pPr>
      <w:r>
        <w:t xml:space="preserve">Seo thíos roinnt smaointe a chuideoidh leat Sprioc 10 a thabhairt beo do do dhaltaí. Oibríonn siad mar ghníomhaíochtaí neamhspleácha nó i sraith mar phlean ceachta iomlán.
</w:t>
      </w:r>
    </w:p>
    <w:p>
      <w:pPr>
        <w:spacing/>
        <w:pStyle w:val="Heading2"/>
      </w:pPr>
      <w:r>
        <w:rPr>
          <w:b w:val="true"/>
          <w:bCs w:val="true"/>
        </w:rPr>
        <w:t xml:space="preserve">Treoir don mhúinteoir ar mhúineadh Sprioc 10: Éagothroime Laghdaithe</w:t>
      </w:r>
    </w:p>
    <w:p>
      <w:pPr>
        <w:spacing/>
      </w:pPr>
      <w:r>
        <w:t xml:space="preserve">
Sula múineann tú na ceachtanna seo, ba chóir duit a sheiceáil an bhfuil aon cheann de na neamhionannais seo ag dul i bhfeidhm ar aon cheann de do scoláirí Is topaicí íogaire iad seo agus chun iad a phlé go hoscailte agus go sona ní mór duit a chinntiú go bhfuil an seomra ranga ina thimpeallacht ‘sábháilte’ do do dhaltaí ar fad.
Is réamhrá iad na gníomhaíochtaí seo ar roinnt de na cineálacha éagsúla neamhionannais atá ann ar domhan. Is féidir go mbeadh sé éasca titim siar ar steiréitíopaí agus tú ag cur síos ar na cásanna seo. Déan iarracht aon steiréitíopaí a dhíchruthú go gníomhach mar go stiúrfaidh sé seo na daltaí ó bheith ag titim siar orthu. Cuir i gcuimhne dóibh go bhfuil go leor castachta maidir le cén fáth a bhfuil éagothroime ann agus cad é mar atá ag daoine maireachtáil leis.
Agus an ceacht seo á mhúineadh agat, agus go háirithe agus tú ag clúdach na gníomhaíochta foghlama fíor agus bréagach, déan cinnte go míníonn tú go bhfuil na neamhionannais seo ann toisc go bhfuil córais idirdhealaitheach in aghaidh na mbocht, grúpaí mionlaigh, daoine faoi mhíchumas, mná, daoine scothaosta agus grúpaí eile i sochaithe.
Cinntigh nach gcuireann daltaí éagothroime i leith na híoslaghdaithe nó steiréitíopaí.
Déan cinnte, nuair a dhéanann tú cur síos nó plé ar na córais idirdhealaithe seo, go soiléiríonn tú go bhfuil go leor fíricí agus éachtaí dearfacha i measc daoine atá mar chuid de ghrúpaí imeallaithe go stairiúil.
Lean agus féach ar pholasaí comhionannais do scoile.</w:t>
      </w:r>
    </w:p>
    <w:p>
      <w:pPr>
        <w:spacing w:before="150" w:after="150"/>
      </w:pPr>
      <w:r>
        <w:drawing>
          <wp:inline distT="0" distB="0" distL="0" distR="0">
            <wp:extent cx="3810000" cy="2310833"/>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1" cstate="none"/>
                    <a:srcRect/>
                    <a:stretch>
                      <a:fillRect/>
                    </a:stretch>
                  </pic:blipFill>
                  <pic:spPr bwMode="auto">
                    <a:xfrm>
                      <a:ext cx="3810000" cy="2310833"/>
                      <a:off x="0" y="0"/>
                    </a:xfrm>
                    <a:prstGeom prst="rect">
                      <a:avLst/>
                    </a:prstGeom>
                  </pic:spPr>
                </pic:pic>
              </a:graphicData>
            </a:graphic>
          </wp:inline>
        </w:drawing>
      </w:r>
    </w:p>
    <w:p>
      <w:pPr>
        <w:spacing/>
        <w:pStyle w:val="Heading1"/>
      </w:pPr>
      <w:r>
        <w:rPr>
          <w:b w:val="true"/>
          <w:bCs w:val="true"/>
        </w:rPr>
        <w:t xml:space="preserve">Gníomhaíocht 1: Éagothroime a thabhairt isteach </w:t>
      </w:r>
    </w:p>
    <w:p>
      <w:pPr>
        <w:spacing/>
        <w:pStyle w:val="Heading3"/>
      </w:pPr>
      <w:r>
        <w:t xml:space="preserve">Sa ghníomhaíocht seo, cuirfear coincheap na héagothroime i láthair na ndaltaí.</w:t>
      </w:r>
    </w:p>
    <w:p>
      <w:pPr>
        <w:spacing/>
      </w:pPr>
      <w:r>
        <w:rPr>
          <w:b w:val="true"/>
          <w:bCs w:val="true"/>
        </w:rPr>
        <w:t xml:space="preserve">Fad - 10 nóim</w:t>
      </w:r>
      <w:r>
        <w:t xml:space="preserve">
</w:t>
      </w:r>
    </w:p>
    <w:p>
      <w:pPr>
        <w:spacing/>
        <w:pStyle w:val="ListParagraph"/>
        <w:numPr>
          <w:ilvl w:val="0"/>
          <w:numId w:val="1"/>
        </w:numPr>
      </w:pPr>
      <w:r>
        <w:t xml:space="preserve">Dáil roinnt milseán / brioscaí / greamáin / cuntair go míchothrom. Ba chóir go mbeadh go leor ag roinnt mac léinn, níl aon cheann ag roinnt mac léinn. Coinnigh an tromlach duit féin.</w:t>
      </w:r>
    </w:p>
    <w:p>
      <w:pPr>
        <w:spacing/>
        <w:pStyle w:val="ListParagraph"/>
        <w:numPr>
          <w:ilvl w:val="0"/>
          <w:numId w:val="1"/>
        </w:numPr>
      </w:pPr>
      <w:r>
        <w:t xml:space="preserve">Fiafraigh de na daltaí “An bhfuil sé seo cothrom?” Spreag na scoláirí chun é seo a phlé mar rang. Iarr ar na daltaí plé a dhéanamh ar conas a mhothaíonn siad faoin dáileadh atá acu.</w:t>
      </w:r>
    </w:p>
    <w:p>
      <w:pPr>
        <w:spacing/>
        <w:pStyle w:val="ListParagraph"/>
        <w:numPr>
          <w:ilvl w:val="0"/>
          <w:numId w:val="1"/>
        </w:numPr>
      </w:pPr>
      <w:r>
        <w:t xml:space="preserve">Mínigh do na daltaí go bhfuil an méid is mó agat mar gur tusa an duine is sine. An bhfuil sin cothrom? Cad faoi má thug tú níos mó ná an ceann is giorra do na leanaí is airde? Nó bhí ar na buachaillí ar fad a gcuid féin a thabhairt do na cailíní?</w:t>
      </w:r>
    </w:p>
    <w:p>
      <w:pPr>
        <w:spacing w:after="150"/>
        <w:pStyle w:val="ListParagraph"/>
        <w:numPr>
          <w:ilvl w:val="0"/>
          <w:numId w:val="1"/>
        </w:numPr>
      </w:pPr>
      <w:r>
        <w:t xml:space="preserve">Bain úsáid as an sampla seo d’éagothroime chun smaoineamh na héagothroime sóisialta a thabhairt isteach. Seans go mbeadh an sainmhíniú seo úsáideach: </w:t>
      </w:r>
      <w:r>
        <w:rPr>
          <w:i w:val="true"/>
          <w:iCs w:val="true"/>
        </w:rPr>
        <w:t xml:space="preserve">“cás nach bhfuil daoine comhionann mar go mbíonn níos mó deiseanna, cumhachta, airgid, srl ag grúpaí áirithe ná a chéile”</w:t>
      </w:r>
      <w:r>
        <w:t xml:space="preserve"> (foinse: foclóir MacMillan) </w:t>
      </w:r>
    </w:p>
    <w:p>
      <w:pPr>
        <w:spacing/>
      </w:pPr>
      <w:r>
        <w:t xml:space="preserve">Tá achoimre ar Sprioc 10 san fhíseán seo a leanas:</w:t>
      </w:r>
    </w:p>
    <w:p>
      <w:hyperlink w:history="1" r:id="rIdzkcp7zuidn">
        <w:r>
          <w:rPr>
            <w:rStyle w:val="Hyperlink"/>
          </w:rPr>
          <w:t xml:space="preserve">https://www.youtube.com/watch?v=6DlQq2xLw_0</w:t>
        </w:r>
      </w:hyperlink>
    </w:p>
    <w:p>
      <w:pPr>
        <w:spacing/>
      </w:pPr>
      <w:r/>
    </w:p>
    <w:p>
      <w:pPr>
        <w:spacing/>
        <w:pStyle w:val="Heading1"/>
      </w:pPr>
      <w:r>
        <w:rPr>
          <w:b w:val="true"/>
          <w:bCs w:val="true"/>
        </w:rPr>
        <w:t xml:space="preserve">Gníomhaíocht 2: Tionchar an Éagothroime </w:t>
      </w:r>
    </w:p>
    <w:p>
      <w:pPr>
        <w:spacing/>
        <w:pStyle w:val="Heading3"/>
      </w:pPr>
      <w:r>
        <w:t xml:space="preserve">Sa ghníomhaíocht seo, smaoineoidh daltaí ar éagothroime agus an tionchar a bhíonn aige ar dhaoine aonair, ar a dteaghlaigh, ar aghaidh go dtí an domhan ar fad.</w:t>
      </w:r>
    </w:p>
    <w:p>
      <w:pPr>
        <w:spacing/>
      </w:pPr>
      <w:r>
        <w:rPr>
          <w:b w:val="true"/>
          <w:bCs w:val="true"/>
        </w:rPr>
        <w:t xml:space="preserve">Fad - 30-40 nóiméad</w:t>
      </w:r>
    </w:p>
    <w:p>
      <w:pPr>
        <w:spacing/>
        <w:pStyle w:val="ListParagraph"/>
        <w:numPr>
          <w:ilvl w:val="0"/>
          <w:numId w:val="1"/>
        </w:numPr>
      </w:pPr>
      <w:r>
        <w:t xml:space="preserve">Le chéile, déan liosta de na cineálacha éagsúla éagothroime ar féidir le daltaí smaoineamh orthu. Ansin, i ngrúpaí beaga, ba chóir do dhaltaí cineál amháin éagothroime a roghnú le díriú air.</w:t>
      </w:r>
    </w:p>
    <w:p>
      <w:pPr>
        <w:spacing/>
        <w:pStyle w:val="ListParagraph"/>
        <w:numPr>
          <w:ilvl w:val="0"/>
          <w:numId w:val="1"/>
        </w:numPr>
      </w:pPr>
      <w:r>
        <w:t xml:space="preserve">Ba chóir do dhaltaí tionchair uile na héagothroime seo a scríobh síos ar féidir leo smaoineamh orthu chun slabhra tionchair a chruthú. Tabhair treoir do na daltaí smaoineamh ar an tionchar san ord seo:</w:t>
      </w:r>
    </w:p>
    <w:p>
      <w:pPr>
        <w:spacing/>
        <w:pStyle w:val="ListParagraph"/>
        <w:numPr>
          <w:ilvl w:val="1"/>
          <w:numId w:val="1"/>
        </w:numPr>
      </w:pPr>
      <w:r>
        <w:t xml:space="preserve">Daoine aonair - cén tionchar atá ag an neamhionannas ar an duine aonair?</w:t>
      </w:r>
    </w:p>
    <w:p>
      <w:pPr>
        <w:spacing/>
        <w:pStyle w:val="ListParagraph"/>
        <w:numPr>
          <w:ilvl w:val="1"/>
          <w:numId w:val="1"/>
        </w:numPr>
      </w:pPr>
      <w:r>
        <w:t xml:space="preserve">A dteaghlaigh - conas a théann sé i bhfeidhm ar a dteaghlach ansin?</w:t>
      </w:r>
    </w:p>
    <w:p>
      <w:pPr>
        <w:spacing/>
        <w:pStyle w:val="ListParagraph"/>
        <w:numPr>
          <w:ilvl w:val="1"/>
          <w:numId w:val="1"/>
        </w:numPr>
      </w:pPr>
      <w:r>
        <w:t xml:space="preserve">Pobal áitiúil - cén tionchar atá aige seo ar a bpobal áitiúil?</w:t>
      </w:r>
    </w:p>
    <w:p>
      <w:pPr>
        <w:spacing/>
        <w:pStyle w:val="ListParagraph"/>
        <w:numPr>
          <w:ilvl w:val="1"/>
          <w:numId w:val="1"/>
        </w:numPr>
      </w:pPr>
      <w:r>
        <w:t xml:space="preserve">An tír ar fad - cén tionchar a bheidh aige seo ar an tír ar fad?</w:t>
      </w:r>
    </w:p>
    <w:p>
      <w:pPr>
        <w:spacing/>
        <w:pStyle w:val="ListParagraph"/>
        <w:numPr>
          <w:ilvl w:val="1"/>
          <w:numId w:val="1"/>
        </w:numPr>
      </w:pPr>
      <w:r>
        <w:t xml:space="preserve">An domhan - ar deireadh, cén tionchar a bheidh ag an neamhionannas seo ar an domhan?</w:t>
      </w:r>
    </w:p>
    <w:p>
      <w:pPr>
        <w:spacing/>
        <w:pStyle w:val="ListParagraph"/>
        <w:numPr>
          <w:ilvl w:val="0"/>
          <w:numId w:val="1"/>
        </w:numPr>
      </w:pPr>
      <w:r>
        <w:t xml:space="preserve">Mar shíneadh leis, d’fhéadfaidís smaoineamh ar éifeachtaí eacnamaíocha, sóisialta, polaitiúla agus comhshaoil.
</w:t>
      </w:r>
    </w:p>
    <w:p>
      <w:pPr>
        <w:spacing w:after="150"/>
        <w:pStyle w:val="ListParagraph"/>
        <w:numPr>
          <w:ilvl w:val="0"/>
          <w:numId w:val="1"/>
        </w:numPr>
      </w:pPr>
      <w:r>
        <w:t xml:space="preserve">Nuair a bheidh siad críochnaithe, faigh bealaí inar féidir le scoláirí a gcuid oibre a roinnt agus machnamh a dhéanamh ar a bhfuil foghlamtha acu.</w:t>
      </w:r>
    </w:p>
    <w:p>
      <w:pPr>
        <w:spacing/>
      </w:pPr>
      <w:r>
        <w:t xml:space="preserve">
</w:t>
      </w:r>
    </w:p>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bl>
    <w:tblPr>
      <w:tblCellMar>
        <w:bottom w:type="auto" w:w="0"/>
        <w:top w:type="auto" w:w="0"/>
        <w:left w:type="auto" w:w="0"/>
        <w:right w:type="auto" w:w="0"/>
      </w:tblCellMa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W w:type="pct" w:w="100%"/>
    </w:tblPr>
    <w:tblGrid>
      <w:gridCol w:w="6769"/>
      <w:gridCol w:w="2256"/>
    </w:tblGrid>
    <w:tr>
      <w:tc>
        <w:tcPr>
          <w:tcBorders>
            <w:top w:val="none" w:sz="0" w:color="black"/>
            <w:bottom w:val="none" w:sz="0" w:color="black"/>
            <w:left w:val="none" w:sz="0" w:color="black"/>
            <w:right w:val="none" w:sz="0" w:color="black"/>
          </w:tcBorders>
        </w:tcPr>
        <w:p>
          <w:pPr>
            <w:pStyle w:val="FooterText"/>
          </w:pPr>
          <w:r>
            <w:t xml:space="preserve">Published by Micro:bit Educational Foundation </w:t>
          </w:r>
          <w:hyperlink w:history="1" r:id="rIdeWRhpRV">
            <w:r>
              <w:rPr>
                <w:rStyle w:val="Hyperlink"/>
              </w:rPr>
              <w:t xml:space="preserve">https://microbit.org</w:t>
            </w:r>
          </w:hyperlink>
        </w:p>
      </w:tc>
      <w:tc>
        <w:tcPr>
          <w:tcBorders>
            <w:top w:val="none" w:sz="0" w:color="black"/>
            <w:bottom w:val="none" w:sz="0" w:color="black"/>
            <w:left w:val="none" w:sz="0" w:color="black"/>
            <w:right w:val="none" w:sz="0" w:color="black"/>
          </w:tcBorders>
        </w:tcPr>
        <w:p>
          <w:pPr>
            <w:jc w:val="right"/>
            <w:pStyle w:val="default"/>
          </w:pPr>
          <w:r>
            <w:fldChar w:fldCharType="begin"/>
            <w:instrText xml:space="preserve">PAGE</w:instrText>
            <w:fldChar w:fldCharType="separate"/>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1">
    <w:abstractNumId w:val="0"/>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color w:val="2E74B5"/>
      <w:sz w:val="32"/>
      <w:szCs w:val="32"/>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Normal">
    <w:name w:val="Normal"/>
    <w:pPr>
      <w:spacing w:after="150"/>
    </w:pPr>
    <w:rPr>
      <w:rFonts w:ascii="Arial" w:cs="Arial" w:eastAsia="Arial" w:hAnsi="Arial"/>
    </w:rPr>
    <w:next w:val="Normal"/>
    <w:qFormat/>
  </w:style>
  <w:style w:type="paragraph" w:styleId="ListParagraph">
    <w:name w:val="List Paragraph"/>
    <w:pPr>
      <w:spacing w:after="0"/>
    </w:pPr>
    <w:basedOn w:val="Normal"/>
    <w:qFormat/>
  </w:style>
  <w:style w:type="paragraph" w:styleId="blockquote">
    <w:name w:val="Blockquote"/>
    <w:pPr>
      <w:spacing w:line="276"/>
      <w:ind w:left="720"/>
    </w:pPr>
    <w:rPr>
      <w:i w:val="true"/>
      <w:iCs w:val="true"/>
    </w:rPr>
    <w:basedOn w:val="Normal"/>
    <w:next w:val="Normal"/>
    <w:qFormat/>
  </w:style>
  <w:style w:type="paragraph" w:styleId="Title">
    <w:name w:val="Title"/>
    <w:pPr>
      <w:spacing w:before="448" w:after="336"/>
    </w:pPr>
    <w:rPr>
      <w:b w:val="true"/>
      <w:bCs w:val="true"/>
      <w:sz w:val="56"/>
      <w:szCs w:val="56"/>
    </w:rPr>
    <w:basedOn w:val="Normal"/>
    <w:next w:val="Normal"/>
    <w:qFormat/>
  </w:style>
  <w:style w:type="paragraph" w:styleId="Heading1">
    <w:name w:val="Heading 1"/>
    <w:pPr>
      <w:spacing w:before="288" w:after="216"/>
    </w:pPr>
    <w:rPr>
      <w:b w:val="true"/>
      <w:bCs w:val="true"/>
      <w:sz w:val="36"/>
      <w:szCs w:val="36"/>
    </w:rPr>
    <w:basedOn w:val="Normal"/>
    <w:next w:val="Normal"/>
    <w:qFormat/>
  </w:style>
  <w:style w:type="paragraph" w:styleId="Heading2">
    <w:name w:val="Heading 2"/>
    <w:pPr>
      <w:spacing w:before="256" w:after="192"/>
    </w:pPr>
    <w:rPr>
      <w:b w:val="true"/>
      <w:bCs w:val="true"/>
      <w:sz w:val="32"/>
      <w:szCs w:val="32"/>
    </w:rPr>
    <w:basedOn w:val="Normal"/>
    <w:next w:val="Normal"/>
    <w:qFormat/>
  </w:style>
  <w:style w:type="paragraph" w:styleId="Heading3">
    <w:name w:val="Heading 3"/>
    <w:pPr>
      <w:spacing w:before="224" w:after="168"/>
    </w:pPr>
    <w:rPr>
      <w:b w:val="true"/>
      <w:bCs w:val="true"/>
      <w:sz w:val="28"/>
      <w:szCs w:val="28"/>
    </w:rPr>
    <w:basedOn w:val="Normal"/>
    <w:next w:val="Normal"/>
    <w:qFormat/>
  </w:style>
  <w:style w:type="paragraph" w:styleId="Heading4">
    <w:name w:val="Heading 4"/>
    <w:pPr>
      <w:spacing w:before="192" w:after="144"/>
    </w:pPr>
    <w:rPr>
      <w:b w:val="true"/>
      <w:bCs w:val="true"/>
      <w:sz w:val="24"/>
      <w:szCs w:val="24"/>
    </w:rPr>
    <w:basedOn w:val="Normal"/>
    <w:next w:val="Normal"/>
    <w:qFormat/>
  </w:style>
  <w:style w:type="paragraph" w:styleId="Heading5">
    <w:name w:val="Heading 5"/>
    <w:pPr>
      <w:spacing w:before="160" w:after="120"/>
    </w:pPr>
    <w:rPr>
      <w:b w:val="true"/>
      <w:bCs w:val="true"/>
      <w:sz w:val="20"/>
      <w:szCs w:val="20"/>
    </w:rPr>
    <w:basedOn w:val="Normal"/>
    <w:next w:val="Normal"/>
    <w:qFormat/>
  </w:style>
  <w:style w:type="paragraph" w:styleId="Heading6">
    <w:name w:val="Heading 6"/>
    <w:pPr>
      <w:spacing w:before="144" w:after="108"/>
    </w:pPr>
    <w:rPr>
      <w:b w:val="true"/>
      <w:bCs w:val="true"/>
      <w:sz w:val="18"/>
      <w:szCs w:val="18"/>
    </w:rPr>
    <w:basedOn w:val="Normal"/>
    <w:next w:val="Normal"/>
    <w:qFormat/>
  </w:style>
  <w:style w:type="paragraph" w:styleId="FooterText">
    <w:name w:val="Footer text"/>
    <w:rPr>
      <w:sz w:val="18"/>
      <w:szCs w:val="18"/>
    </w:rPr>
    <w:basedOn w:val="Normal"/>
  </w:style>
  <w:style w:type="character" w:styleId="code">
    <w:name w:val="Code"/>
    <w:rPr>
      <w:rFonts w:ascii="Courier New" w:cs="Courier New" w:eastAsia="Courier New" w:hAnsi="Courier New"/>
    </w:rPr>
    <w:uiPriority w:val="99"/>
    <w:unhideWhenUsed/>
    <w:basedOn w:val="Normal"/>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dfhv8x59d" Type="http://schemas.openxmlformats.org/officeDocument/2006/relationships/hyperlink" Target="https://microbit.org/ga-ie/teach/do-your-bit/global-goals/introducing-the-global-goals/" TargetMode="External"/><Relationship Id="rIdzkcp7zuidn" Type="http://schemas.openxmlformats.org/officeDocument/2006/relationships/hyperlink" Target="https://www.youtube.com/watch?v=6DlQq2xLw_0" TargetMode="External"/><Relationship Id="rId5" Type="http://schemas.openxmlformats.org/officeDocument/2006/relationships/header" Target="header1.xml"/><Relationship Id="rId6" Type="http://schemas.openxmlformats.org/officeDocument/2006/relationships/footer" Target="footer1.xml"/><Relationship Id="rId9" Type="http://schemas.openxmlformats.org/officeDocument/2006/relationships/image" Target="media/n80ycbax1jmi6slj04e4t.png"/><Relationship Id="rId10" Type="http://schemas.openxmlformats.org/officeDocument/2006/relationships/image" Target="media/ghz6hvudo26zl0r40s1wpa.png"/><Relationship Id="rId11" Type="http://schemas.openxmlformats.org/officeDocument/2006/relationships/image" Target="media/0eed5lsrpi1q7leut9ar7gf.png"/></Relationships>
</file>

<file path=word/_rels/footer1.xml.rels><Relationships xmlns="http://schemas.openxmlformats.org/package/2006/relationships"><Relationship Id="rIdeWRhpRV" Type="http://schemas.openxmlformats.org/officeDocument/2006/relationships/hyperlink" Target="http://www.microbit.org" TargetMode="External"/></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2025-06-20T17:35:02Z</dcterms:created>
  <dcterms:modified xsi:type="dcterms:W3CDTF">2025-06-20T17:35:02Z</dcterms:modified>
</cp:coreProperties>
</file>