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spacing w:after="0" w:before="0"/>
      </w:pPr>
      <w:r>
        <w:drawing>
          <wp:inline distT="0" distB="0" distL="0" distR="0">
            <wp:extent cx="1428750" cy="676469"/>
            <wp:effectExtent b="0" l="0" r="0" t="0"/>
            <wp:docPr id="0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 desc=""/>
                    <pic:cNvPicPr>
                      <a:picLocks noChangeAspect="1" noChangeArrowheads="1"/>
                    </pic:cNvPicPr>
                  </pic:nvPicPr>
                  <pic:blipFill>
                    <a:blip r:embed="rId7" cstate="none"/>
                    <a:srcRect/>
                    <a:stretch>
                      <a:fillRect/>
                    </a:stretch>
                  </pic:blipFill>
                  <pic:spPr bwMode="auto">
                    <a:xfrm>
                      <a:ext cx="1428750" cy="676469"/>
                      <a:off x="0" 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/>
        <w:pStyle w:val="Title"/>
      </w:pPr>
      <w:r>
        <w:t xml:space="preserve">Measurement and conversion with distance calculator </w:t>
      </w:r>
    </w:p>
    <w:p>
      <w:pPr>
        <w:spacing/>
      </w:pPr>
      <w:r>
        <w:rPr>
          <w:b w:val="true"/>
          <w:bCs w:val="true"/>
        </w:rPr>
        <w:t xml:space="preserve">Lessons: </w:t>
      </w:r>
      <w:r>
        <w:t xml:space="preserve">1</w:t>
      </w:r>
    </w:p>
    <w:p>
      <w:pPr>
        <w:spacing/>
      </w:pPr>
      <w:r>
        <w:rPr>
          <w:b w:val="true"/>
          <w:bCs w:val="true"/>
        </w:rPr>
        <w:t xml:space="preserve">Programming languages: </w:t>
      </w:r>
      <w:r>
        <w:t xml:space="preserve">MakeCode</w:t>
      </w:r>
    </w:p>
    <w:p>
      <w:pPr>
        <w:spacing/>
      </w:pPr>
      <w:r>
        <w:rPr>
          <w:b w:val="true"/>
          <w:bCs w:val="true"/>
        </w:rPr>
        <w:t xml:space="preserve">Target age: </w:t>
      </w:r>
      <w:r>
        <w:t xml:space="preserve">7-11 yrs</w:t>
      </w:r>
    </w:p>
    <w:p>
      <w:pPr>
        <w:spacing/>
      </w:pPr>
      <w:r>
        <w:rPr>
          <w:b w:val="true"/>
          <w:bCs w:val="true"/>
        </w:rPr>
        <w:t xml:space="preserve">Subjects &amp; topics:</w:t>
      </w:r>
    </w:p>
    <w:p>
      <w:pPr>
        <w:spacing w:after="150"/>
        <w:pStyle w:val="ListParagraph"/>
        <w:numPr>
          <w:ilvl w:val="0"/>
          <w:numId w:val="1"/>
        </w:numPr>
      </w:pPr>
      <w:r>
        <w:t xml:space="preserve">Mathematics: </w:t>
      </w:r>
      <w:r>
        <w:t xml:space="preserve">Measurement , Area, Multiplication, Addition</w:t>
      </w:r>
    </w:p>
    <w:p>
      <w:pPr>
        <w:spacing/>
        <w:pStyle w:val="Heading1"/>
      </w:pPr>
      <w:r>
        <w:t xml:space="preserve">Lesson details</w:t>
      </w:r>
    </w:p>
    <w:p>
      <w:pPr>
        <w:spacing/>
      </w:pPr>
      <w:r>
        <w:t xml:space="preserve">Students can identify rectangles in their school environment, such as classrooms, sidewalks or sports fields/courts, and use the BBC micro:bit to measure side lengths. They can use those measurements to practise using formulas to calculate the perimeter and area of rectangles.</w:t>
      </w:r>
    </w:p>
    <w:p>
      <w:pPr>
        <w:spacing/>
      </w:pPr>
      <w:r>
        <w:t xml:space="preserve">Students can convert the measurements made with the micro:bit in a larger unit (feet or meters) to a smaller unit (inches or centimeters).</w:t>
      </w:r>
    </w:p>
    <w:p>
      <w:pPr>
        <w:spacing/>
        <w:pStyle w:val="Heading2"/>
      </w:pPr>
      <w:r>
        <w:t xml:space="preserve">Overall key learning</w:t>
      </w:r>
    </w:p>
    <w:p>
      <w:pPr>
        <w:spacing/>
      </w:pPr>
      <w:r>
        <w:t xml:space="preserve">Learning objectives are at three different levels: </w:t>
      </w:r>
    </w:p>
    <w:p>
      <w:pPr>
        <w:spacing/>
        <w:pStyle w:val="ListParagraph"/>
        <w:numPr>
          <w:ilvl w:val="0"/>
          <w:numId w:val="1"/>
        </w:numPr>
      </w:pPr>
      <w:r>
        <w:rPr>
          <w:b w:val="true"/>
          <w:bCs w:val="true"/>
        </w:rPr>
        <w:t xml:space="preserve">Mild</w:t>
      </w:r>
      <w:r>
        <w:t xml:space="preserve"> - I can use the micro:bit distance calculator program to measure side lengths to calculate the perimeter and area of a rectangle. I can convert measurements to a smaller unit.</w:t>
      </w:r>
    </w:p>
    <w:p>
      <w:pPr>
        <w:spacing/>
        <w:pStyle w:val="ListParagraph"/>
        <w:numPr>
          <w:ilvl w:val="0"/>
          <w:numId w:val="1"/>
        </w:numPr>
      </w:pPr>
      <w:r>
        <w:rPr>
          <w:b w:val="true"/>
          <w:bCs w:val="true"/>
        </w:rPr>
        <w:t xml:space="preserve">Medium</w:t>
      </w:r>
      <w:r>
        <w:t xml:space="preserve"> - I can modify my own distance calculator program to measure side lengths to calculate the perimeter and area of a rectangle. I can convert measurements to a smaller unit.</w:t>
      </w:r>
    </w:p>
    <w:p>
      <w:pPr>
        <w:spacing w:after="150"/>
        <w:pStyle w:val="ListParagraph"/>
        <w:numPr>
          <w:ilvl w:val="0"/>
          <w:numId w:val="1"/>
        </w:numPr>
      </w:pPr>
      <w:r>
        <w:rPr>
          <w:b w:val="true"/>
          <w:bCs w:val="true"/>
        </w:rPr>
        <w:t xml:space="preserve">Spicy</w:t>
      </w:r>
      <w:r>
        <w:t xml:space="preserve"> - Code your own distance calculator project to walk the sides of a rectangle to measure their lengths in feet or meters. Calculate the rectangle perimeter and area using the measurements collected and convert to smaller units of measure (inches or centimeters).</w:t>
      </w:r>
    </w:p>
    <w:p>
      <w:pPr>
        <w:spacing/>
        <w:pStyle w:val="Heading2"/>
      </w:pPr>
      <w:r>
        <w:t xml:space="preserve">Additional skills</w:t>
      </w:r>
    </w:p>
    <w:p>
      <w:pPr>
        <w:spacing/>
      </w:pPr>
      <w:r/>
    </w:p>
    <w:p>
      <w:pPr>
        <w:spacing/>
      </w:pPr>
    </w:p>
    <w:p>
      <w:pPr>
        <w:spacing/>
        <w:pStyle w:val="Heading1"/>
      </w:pPr>
      <w:r>
        <w:t xml:space="preserve">Curriculum links</w:t>
      </w:r>
    </w:p>
    <w:p>
      <w:pPr>
        <w:spacing/>
        <w:pStyle w:val="Heading2"/>
      </w:pPr>
      <w:r>
        <w:t xml:space="preserve">CA CCSS Standards</w:t>
      </w:r>
    </w:p>
    <w:p>
      <w:pPr>
        <w:spacing/>
        <w:pStyle w:val="Heading4"/>
      </w:pPr>
      <w:r>
        <w:t xml:space="preserve">Measurement and Data: Solve problems involving measurement and conversion of measurements from a larger unit to a smaller unit</w:t>
      </w:r>
    </w:p>
    <w:p>
      <w:pPr>
        <w:spacing/>
        <w:pStyle w:val="ListParagraph"/>
        <w:numPr>
          <w:ilvl w:val="0"/>
          <w:numId w:val="1"/>
        </w:numPr>
      </w:pPr>
      <w:r>
        <w:t xml:space="preserve">4.MD.A.1 Know relative sizes of measurement units within one system of units including km, m, cm; kg, g; lb, oz.; l, ml; hr, min, sec. Within a single system of measurement, express measurements in a larger unit in terms of a smaller unit. Record measurement equivalents in a two-column table. For example, know that 1 ft is 12 times as long as 1 in. Express the length of a 4 ft snake as 48 in. Generate a conversion table for feet and inches listing the number pairs (1, 12), (2, 24), (3, 36)</w:t>
      </w:r>
    </w:p>
    <w:p>
      <w:pPr>
        <w:spacing/>
        <w:pStyle w:val="ListParagraph"/>
        <w:numPr>
          <w:ilvl w:val="0"/>
          <w:numId w:val="1"/>
        </w:numPr>
      </w:pPr>
      <w:r>
        <w:t xml:space="preserve">4.MD.A.3 Apply the area and perimeter formulas for rectangles in real-world and mathematical problems. For example, find the width of a rectangular room given the area of the flooring and the length, by viewing the area formula as a multiplication equation with an unknown factor.</w:t>
      </w:r>
    </w:p>
    <w:p>
      <w:pPr>
        <w:spacing/>
        <w:pStyle w:val="Heading2"/>
      </w:pPr>
      <w:r>
        <w:t xml:space="preserve">CA CS Standards </w:t>
      </w:r>
    </w:p>
    <w:p>
      <w:pPr>
        <w:spacing/>
        <w:pStyle w:val="ListParagraph"/>
        <w:numPr>
          <w:ilvl w:val="0"/>
          <w:numId w:val="1"/>
        </w:numPr>
      </w:pPr>
      <w:r>
        <w:t xml:space="preserve">3-5.AP.11 Create programs that use variables to store and modify data. (P5.2)</w:t>
      </w:r>
    </w:p>
    <w:p>
      <w:pPr>
        <w:spacing/>
        <w:pStyle w:val="ListParagraph"/>
        <w:numPr>
          <w:ilvl w:val="0"/>
          <w:numId w:val="1"/>
        </w:numPr>
      </w:pPr>
      <w:r>
        <w:t xml:space="preserve">3-5.AP.12 Create programs that include events, loops, and conditionals. (P5.2)</w:t>
      </w:r>
    </w:p>
    <w:p>
      <w:pPr>
        <w:spacing/>
        <w:pStyle w:val="ListParagraph"/>
        <w:numPr>
          <w:ilvl w:val="0"/>
          <w:numId w:val="1"/>
        </w:numPr>
      </w:pPr>
      <w:r>
        <w:t xml:space="preserve">3-5.CS.2 Demonstrate how computer hardware and software work together as a system to accomplish tasks. (P4.4)</w:t>
      </w:r>
    </w:p>
    <w:p>
      <w:pPr>
        <w:spacing/>
        <w:pStyle w:val="ListParagraph"/>
        <w:numPr>
          <w:ilvl w:val="0"/>
          <w:numId w:val="1"/>
        </w:numPr>
      </w:pPr>
      <w:r>
        <w:t xml:space="preserve">3-5.CS.3 Determine potential solutions to solve simple hardware and software problems using common troubleshooting strategies. (P6.2)</w:t>
      </w:r>
    </w:p>
    <w:p>
      <w:pPr>
        <w:spacing/>
        <w:pStyle w:val="ListParagraph"/>
        <w:numPr>
          <w:ilvl w:val="0"/>
          <w:numId w:val="1"/>
        </w:numPr>
      </w:pPr>
      <w:r>
        <w:t xml:space="preserve">3-5.AP.14 Create programs by incorporating smaller portions of existing programs, to develop something new or add more advanced features. (P4.2, P5.3)</w:t>
      </w:r>
    </w:p>
    <w:p>
      <w:pPr>
        <w:spacing/>
        <w:pStyle w:val="ListParagraph"/>
        <w:numPr>
          <w:ilvl w:val="0"/>
          <w:numId w:val="1"/>
        </w:numPr>
      </w:pPr>
      <w:r>
        <w:t xml:space="preserve">3-5.AP.17 Test and debug a program or algorithm to ensure it accomplishes the intended task. (P6.2)</w:t>
      </w:r>
    </w:p>
    <w:p>
      <w:pPr>
        <w:spacing/>
      </w:pPr>
      <w:r/>
    </w:p>
    <w:p>
      <w:pPr>
        <w:spacing/>
      </w:pPr>
    </w:p>
    <w:sectPr>
      <w:pgSz w:w="11906" w:h="16838" w:orient="portrait"/>
      <w:pgMar w:top="1440" w:right="1440" w:bottom="1440" w:left="1440" w:header="708" w:footer="708" w:gutter="0" w:mirrorMargins="false"/>
      <w:cols w:space="708" w:num="1"/>
      <w:docGrid w:linePitch="360"/>
      <w:headerReference w:type="default" r:id="rId5"/>
      <w:footerReference w:type="default" r:id="rId6"/>
    </w:sectPr>
  </w:body>
</w:document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tbl>
    <w:tblPr>
      <w:tblCellMar>
        <w:bottom w:type="auto" w:w="0"/>
        <w:top w:type="auto" w:w="0"/>
        <w:left w:type="auto" w:w="0"/>
        <w:right w:type="auto" w:w="0"/>
      </w:tblCellMa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W w:type="pct" w:w="100%"/>
    </w:tblPr>
    <w:tblGrid>
      <w:gridCol w:w="6769"/>
      <w:gridCol w:w="2256"/>
    </w:tblGrid>
    <w:tr>
      <w:tc>
        <w:tcPr>
          <w:tcBorders>
            <w:top w:val="none" w:sz="0" w:color="black"/>
            <w:bottom w:val="none" w:sz="0" w:color="black"/>
            <w:left w:val="none" w:sz="0" w:color="black"/>
            <w:right w:val="none" w:sz="0" w:color="black"/>
          </w:tcBorders>
        </w:tcPr>
        <w:p>
          <w:pPr>
            <w:pStyle w:val="FooterText"/>
          </w:pPr>
          <w:r>
            <w:t xml:space="preserve">Published by Micro:bit Educational Foundation </w:t>
          </w:r>
          <w:hyperlink w:history="1" r:id="rIdeWRhpRV">
            <w:r>
              <w:rPr>
                <w:rStyle w:val="Hyperlink"/>
              </w:rPr>
              <w:t xml:space="preserve">https://microbit.org</w:t>
            </w:r>
          </w:hyperlink>
        </w:p>
      </w:tc>
      <w:tc>
        <w:tcPr>
          <w:tcBorders>
            <w:top w:val="none" w:sz="0" w:color="black"/>
            <w:bottom w:val="none" w:sz="0" w:color="black"/>
            <w:left w:val="none" w:sz="0" w:color="black"/>
            <w:right w:val="none" w:sz="0" w:color="black"/>
          </w:tcBorders>
        </w:tcPr>
        <w:p>
          <w:pPr>
            <w:jc w:val="right"/>
            <w:pStyle w:val="default"/>
          </w:pPr>
          <w:r>
            <w:fldChar w:fldCharType="begin"/>
            <w:instrText xml:space="preserve">PAGE</w:instrText>
            <w:fldChar w:fldCharType="separate"/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multiLevelType w:val="hybridMultilevel"/>
    <w:lvl w:ilvl="0" w15:tentative="1">
      <w:start w:val="1"/>
      <w:lvlJc w:val="left"/>
      <w:numFmt w:val="bullet"/>
      <w:lvlText w:val="●"/>
      <w:pPr>
        <w:ind w:left="720" w:hanging="360"/>
      </w:pPr>
    </w:lvl>
    <w:lvl w:ilvl="1" w15:tentative="1">
      <w:start w:val="1"/>
      <w:lvlJc w:val="left"/>
      <w:numFmt w:val="bullet"/>
      <w:lvlText w:val="○"/>
      <w:pPr>
        <w:ind w:left="1440" w:hanging="360"/>
      </w:pPr>
    </w:lvl>
    <w:lvl w:ilvl="2" w15:tentative="1">
      <w:start w:val="1"/>
      <w:lvlJc w:val="left"/>
      <w:numFmt w:val="bullet"/>
      <w:lvlText w:val="■"/>
      <w:pPr>
        <w:ind w:left="2160" w:hanging="360"/>
      </w:pPr>
    </w:lvl>
    <w:lvl w:ilvl="3" w15:tentative="1">
      <w:start w:val="1"/>
      <w:lvlJc w:val="left"/>
      <w:numFmt w:val="bullet"/>
      <w:lvlText w:val="●"/>
      <w:pPr>
        <w:ind w:left="2880" w:hanging="360"/>
      </w:pPr>
    </w:lvl>
    <w:lvl w:ilvl="4" w15:tentative="1">
      <w:start w:val="1"/>
      <w:lvlJc w:val="left"/>
      <w:numFmt w:val="bullet"/>
      <w:lvlText w:val="○"/>
      <w:pPr>
        <w:ind w:left="3600" w:hanging="360"/>
      </w:pPr>
    </w:lvl>
    <w:lvl w:ilvl="5" w15:tentative="1">
      <w:start w:val="1"/>
      <w:lvlJc w:val="left"/>
      <w:numFmt w:val="bullet"/>
      <w:lvlText w:val="■"/>
      <w:pPr>
        <w:ind w:left="4320" w:hanging="360"/>
      </w:pPr>
    </w:lvl>
    <w:lvl w:ilvl="6" w15:tentative="1">
      <w:start w:val="1"/>
      <w:lvlJc w:val="left"/>
      <w:numFmt w:val="bullet"/>
      <w:lvlText w:val="●"/>
      <w:pPr>
        <w:ind w:left="5040" w:hanging="360"/>
      </w:pPr>
    </w:lvl>
    <w:lvl w:ilvl="7" w15:tentative="1">
      <w:start w:val="1"/>
      <w:lvlJc w:val="left"/>
      <w:numFmt w:val="bullet"/>
      <w:lvlText w:val="●"/>
      <w:pPr>
        <w:ind w:left="5760" w:hanging="360"/>
      </w:pPr>
    </w:lvl>
    <w:lvl w:ilvl="8" w15:tentative="1">
      <w:start w:val="1"/>
      <w:lvlJc w:val="left"/>
      <w:numFmt w:val="bullet"/>
      <w:lvlText w:val="●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rPr>
      <w:sz w:val="56"/>
      <w:szCs w:val="56"/>
    </w:rPr>
    <w:basedOn w:val="Normal"/>
    <w:next w:val="Normal"/>
    <w:qFormat/>
  </w:style>
  <w:style w:type="paragraph" w:styleId="Heading1">
    <w:name w:val="Heading 1"/>
    <w:rPr>
      <w:color w:val="2E74B5"/>
      <w:sz w:val="32"/>
      <w:szCs w:val="32"/>
    </w:rPr>
    <w:basedOn w:val="Normal"/>
    <w:next w:val="Normal"/>
    <w:qFormat/>
  </w:style>
  <w:style w:type="paragraph" w:styleId="Heading2">
    <w:name w:val="Heading 2"/>
    <w:rPr>
      <w:color w:val="2E74B5"/>
      <w:sz w:val="26"/>
      <w:szCs w:val="26"/>
    </w:rPr>
    <w:basedOn w:val="Normal"/>
    <w:next w:val="Normal"/>
    <w:qFormat/>
  </w:style>
  <w:style w:type="paragraph" w:styleId="Heading3">
    <w:name w:val="Heading 3"/>
    <w:rPr>
      <w:color w:val="1F4D78"/>
      <w:sz w:val="24"/>
      <w:szCs w:val="24"/>
    </w:rPr>
    <w:basedOn w:val="Normal"/>
    <w:next w:val="Normal"/>
    <w:qFormat/>
  </w:style>
  <w:style w:type="paragraph" w:styleId="Heading4">
    <w:name w:val="Heading 4"/>
    <w:rPr>
      <w:i w:val="true"/>
      <w:iCs w:val="true"/>
      <w:color w:val="2E74B5"/>
    </w:rPr>
    <w:basedOn w:val="Normal"/>
    <w:next w:val="Normal"/>
    <w:qFormat/>
  </w:style>
  <w:style w:type="paragraph" w:styleId="Heading5">
    <w:name w:val="Heading 5"/>
    <w:rPr>
      <w:color w:val="2E74B5"/>
    </w:rPr>
    <w:basedOn w:val="Normal"/>
    <w:next w:val="Normal"/>
    <w:qFormat/>
  </w:style>
  <w:style w:type="paragraph" w:styleId="Heading6">
    <w:name w:val="Heading 6"/>
    <w:rPr>
      <w:color w:val="1F4D78"/>
    </w:rPr>
    <w:basedOn w:val="Normal"/>
    <w:next w:val="Normal"/>
    <w:qFormat/>
  </w:style>
  <w:style w:type="paragraph" w:styleId="Strong">
    <w:name w:val="Strong"/>
    <w:rPr>
      <w:b w:val="true"/>
      <w:bCs w:val="true"/>
    </w:rPr>
    <w:basedOn w:val="Normal"/>
    <w:next w:val="Normal"/>
    <w:qFormat/>
  </w:style>
  <w:style w:type="paragraph" w:styleId="ListParagraph">
    <w:name w:val="List Paragraph"/>
    <w:basedOn w:val="Normal"/>
    <w:qFormat/>
  </w:style>
  <w:style w:type="character" w:styleId="Hyperlink">
    <w:name w:val="Hyperlink"/>
    <w:rPr>
      <w:u w:val="single"/>
      <w:color w:val="0563C1"/>
    </w:rPr>
    <w:uiPriority w:val="99"/>
    <w:unhideWhenUsed/>
    <w:basedOn w:val="DefaultParagraphFont"/>
  </w:style>
  <w:style w:type="character" w:styleId="FootnoteReference">
    <w:name w:val="footnote reference"/>
    <w:rPr>
      <w:vertAlign w:val="superscript"/>
    </w:rPr>
    <w:uiPriority w:val="99"/>
    <w:unhideWhenUsed/>
    <w:basedOn w:val="DefaultParagraphFont"/>
    <w:semiHidden/>
  </w:style>
  <w:style w:type="paragraph" w:styleId="FootnoteText">
    <w:name w:val="footnote text"/>
    <w:pPr>
      <w:spacing w:after="0" w:line="240" w:lineRule="auto"/>
    </w:pPr>
    <w:rPr>
      <w:sz w:val="20"/>
      <w:szCs w:val="20"/>
    </w:rPr>
    <w:basedOn w:val="Normal"/>
    <w:link w:val="FootnoteTextChar"/>
    <w:semiHidden/>
    <w:uiPriority w:val="99"/>
    <w:unhideWhenUsed/>
  </w:style>
  <w:style w:type="character" w:styleId="FootnoteTextChar">
    <w:name w:val="Footnote Text Char"/>
    <w:rPr>
      <w:sz w:val="20"/>
      <w:szCs w:val="20"/>
    </w:rPr>
    <w:uiPriority w:val="99"/>
    <w:unhideWhenUsed/>
    <w:basedOn w:val="DefaultParagraphFont"/>
    <w:link w:val="FootnoteText"/>
    <w:semiHidden/>
  </w:style>
  <w:style w:type="paragraph" w:styleId="Normal">
    <w:name w:val="Normal"/>
    <w:pPr>
      <w:spacing w:after="150"/>
    </w:pPr>
    <w:rPr>
      <w:rFonts w:ascii="Arial" w:cs="Arial" w:eastAsia="Arial" w:hAnsi="Arial"/>
    </w:rPr>
    <w:next w:val="Normal"/>
    <w:qFormat/>
  </w:style>
  <w:style w:type="paragraph" w:styleId="ListParagraph">
    <w:name w:val="List Paragraph"/>
    <w:pPr>
      <w:spacing w:after="0"/>
    </w:pPr>
    <w:basedOn w:val="Normal"/>
    <w:qFormat/>
  </w:style>
  <w:style w:type="paragraph" w:styleId="blockquote">
    <w:name w:val="Blockquote"/>
    <w:pPr>
      <w:spacing w:line="276"/>
      <w:ind w:left="720"/>
    </w:pPr>
    <w:rPr>
      <w:i w:val="true"/>
      <w:iCs w:val="true"/>
    </w:rPr>
    <w:basedOn w:val="Normal"/>
    <w:next w:val="Normal"/>
    <w:qFormat/>
  </w:style>
  <w:style w:type="paragraph" w:styleId="Title">
    <w:name w:val="Title"/>
    <w:pPr>
      <w:spacing w:before="448" w:after="336"/>
    </w:pPr>
    <w:rPr>
      <w:b w:val="true"/>
      <w:bCs w:val="true"/>
      <w:sz w:val="56"/>
      <w:szCs w:val="56"/>
    </w:rPr>
    <w:basedOn w:val="Normal"/>
    <w:next w:val="Normal"/>
    <w:qFormat/>
  </w:style>
  <w:style w:type="paragraph" w:styleId="Heading1">
    <w:name w:val="Heading 1"/>
    <w:pPr>
      <w:spacing w:before="288" w:after="216"/>
    </w:pPr>
    <w:rPr>
      <w:b w:val="true"/>
      <w:bCs w:val="true"/>
      <w:sz w:val="36"/>
      <w:szCs w:val="36"/>
    </w:rPr>
    <w:basedOn w:val="Normal"/>
    <w:next w:val="Normal"/>
    <w:qFormat/>
  </w:style>
  <w:style w:type="paragraph" w:styleId="Heading2">
    <w:name w:val="Heading 2"/>
    <w:pPr>
      <w:spacing w:before="256" w:after="192"/>
    </w:pPr>
    <w:rPr>
      <w:b w:val="true"/>
      <w:bCs w:val="true"/>
      <w:sz w:val="32"/>
      <w:szCs w:val="32"/>
    </w:rPr>
    <w:basedOn w:val="Normal"/>
    <w:next w:val="Normal"/>
    <w:qFormat/>
  </w:style>
  <w:style w:type="paragraph" w:styleId="Heading3">
    <w:name w:val="Heading 3"/>
    <w:pPr>
      <w:spacing w:before="224" w:after="168"/>
    </w:pPr>
    <w:rPr>
      <w:b w:val="true"/>
      <w:bCs w:val="true"/>
      <w:sz w:val="28"/>
      <w:szCs w:val="28"/>
    </w:rPr>
    <w:basedOn w:val="Normal"/>
    <w:next w:val="Normal"/>
    <w:qFormat/>
  </w:style>
  <w:style w:type="paragraph" w:styleId="Heading4">
    <w:name w:val="Heading 4"/>
    <w:pPr>
      <w:spacing w:before="192" w:after="144"/>
    </w:pPr>
    <w:rPr>
      <w:b w:val="true"/>
      <w:bCs w:val="true"/>
      <w:sz w:val="24"/>
      <w:szCs w:val="24"/>
    </w:rPr>
    <w:basedOn w:val="Normal"/>
    <w:next w:val="Normal"/>
    <w:qFormat/>
  </w:style>
  <w:style w:type="paragraph" w:styleId="Heading5">
    <w:name w:val="Heading 5"/>
    <w:pPr>
      <w:spacing w:before="160" w:after="120"/>
    </w:pPr>
    <w:rPr>
      <w:b w:val="true"/>
      <w:bCs w:val="true"/>
      <w:sz w:val="20"/>
      <w:szCs w:val="20"/>
    </w:rPr>
    <w:basedOn w:val="Normal"/>
    <w:next w:val="Normal"/>
    <w:qFormat/>
  </w:style>
  <w:style w:type="paragraph" w:styleId="Heading6">
    <w:name w:val="Heading 6"/>
    <w:pPr>
      <w:spacing w:before="144" w:after="108"/>
    </w:pPr>
    <w:rPr>
      <w:b w:val="true"/>
      <w:bCs w:val="true"/>
      <w:sz w:val="18"/>
      <w:szCs w:val="18"/>
    </w:rPr>
    <w:basedOn w:val="Normal"/>
    <w:next w:val="Normal"/>
    <w:qFormat/>
  </w:style>
  <w:style w:type="paragraph" w:styleId="FooterText">
    <w:name w:val="Footer text"/>
    <w:rPr>
      <w:sz w:val="18"/>
      <w:szCs w:val="18"/>
    </w:rPr>
    <w:basedOn w:val="Normal"/>
  </w:style>
  <w:style w:type="character" w:styleId="code">
    <w:name w:val="Code"/>
    <w:rPr>
      <w:rFonts w:ascii="Courier New" w:cs="Courier New" w:eastAsia="Courier New" w:hAnsi="Courier New"/>
    </w:rPr>
    <w:uiPriority w:val="99"/>
    <w:unhideWhenUsed/>
    <w:basedOn w:val="Normal"/>
  </w:style>
</w:styles>
</file>

<file path=word/_rels/document.xml.rels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5qvsp8161tpz7p5giepz.png"/></Relationships>
</file>

<file path=word/_rels/footer1.xml.rels><Relationships xmlns="http://schemas.openxmlformats.org/package/2006/relationships"><Relationship Id="rIdeWRhpRV" Type="http://schemas.openxmlformats.org/officeDocument/2006/relationships/hyperlink" Target="http://www.microbit.org" TargetMode="External"/></Relationships>
</file>

<file path=word/_rels/header1.xml.rels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2026-01-13T18:03:35Z</dcterms:created>
  <dcterms:modified xsi:type="dcterms:W3CDTF">2026-01-13T18:03:35Z</dcterms:modified>
</cp:coreProperties>
</file>